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2020年</w:t>
      </w:r>
      <w:r>
        <w:rPr>
          <w:rFonts w:hint="eastAsia" w:ascii="黑体" w:hAnsi="黑体" w:eastAsia="黑体" w:cs="黑体"/>
          <w:b/>
          <w:bCs/>
          <w:kern w:val="0"/>
          <w:sz w:val="36"/>
          <w:szCs w:val="36"/>
        </w:rPr>
        <w:t>中共邵阳市大祥区纪律检查委员会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部门</w:t>
      </w:r>
    </w:p>
    <w:p>
      <w:pPr>
        <w:widowControl/>
        <w:spacing w:line="600" w:lineRule="exact"/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绩效评价报告</w:t>
      </w:r>
    </w:p>
    <w:p>
      <w:pPr>
        <w:widowControl/>
        <w:spacing w:line="600" w:lineRule="exact"/>
        <w:ind w:firstLine="320" w:firstLineChars="100"/>
        <w:rPr>
          <w:rFonts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一、纪检会部门概况</w:t>
      </w:r>
    </w:p>
    <w:p>
      <w:pPr>
        <w:widowControl/>
        <w:spacing w:line="600" w:lineRule="exact"/>
        <w:ind w:firstLine="320" w:firstLineChars="100"/>
        <w:rPr>
          <w:rFonts w:ascii="黑体" w:hAnsi="黑体" w:eastAsia="黑体"/>
          <w:bCs/>
          <w:kern w:val="0"/>
          <w:sz w:val="32"/>
          <w:szCs w:val="32"/>
        </w:rPr>
      </w:pPr>
      <w:r>
        <w:rPr>
          <w:rFonts w:hint="eastAsia" w:ascii="黑体" w:hAnsi="黑体" w:eastAsia="黑体"/>
          <w:bCs/>
          <w:kern w:val="0"/>
          <w:sz w:val="32"/>
          <w:szCs w:val="32"/>
        </w:rPr>
        <w:t>1、部门职责</w:t>
      </w:r>
    </w:p>
    <w:p>
      <w:pPr>
        <w:pStyle w:val="6"/>
        <w:widowControl/>
        <w:shd w:val="clear" w:fill="FFFFFF" w:themeFill="background1"/>
        <w:spacing w:before="150" w:beforeAutospacing="0" w:afterAutospacing="0" w:line="450" w:lineRule="atLeast"/>
        <w:ind w:firstLine="48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（一）按照《中国共产党章程》和中央纪委、省纪委、市纪委有关文件规定，党的纪律检查工作方面的主要职责是：</w:t>
      </w:r>
    </w:p>
    <w:p>
      <w:pPr>
        <w:pStyle w:val="6"/>
        <w:widowControl/>
        <w:shd w:val="clear" w:fill="FFFFFF" w:themeFill="background1"/>
        <w:spacing w:before="150" w:beforeAutospacing="0" w:afterAutospacing="0" w:line="450" w:lineRule="atLeast"/>
        <w:ind w:firstLine="48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（1）贯彻落实党中央、中央纪委、省委、省纪委、市委、市纪委和区委加强党风廉政建设和党纪检查的指示、决定；领导全区党的纪律检查工作。</w:t>
      </w:r>
    </w:p>
    <w:p>
      <w:pPr>
        <w:pStyle w:val="6"/>
        <w:widowControl/>
        <w:shd w:val="clear" w:fill="FFFFFF" w:themeFill="background1"/>
        <w:spacing w:before="150" w:beforeAutospacing="0" w:afterAutospacing="0" w:line="450" w:lineRule="atLeast"/>
        <w:ind w:firstLine="48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维护党的章程和其他重要规章制度，协助区委整顿党风，检查党的路线、方针、政策和决议执行情况，重点检查监督乡（科）级党员领导干部执行党的路线、方针、政策和决议的情况以及思想作风等方面的情况。</w:t>
      </w:r>
    </w:p>
    <w:p>
      <w:pPr>
        <w:pStyle w:val="6"/>
        <w:widowControl/>
        <w:shd w:val="clear" w:fill="FFFFFF" w:themeFill="background1"/>
        <w:spacing w:before="150" w:beforeAutospacing="0" w:afterAutospacing="0" w:line="450" w:lineRule="atLeast"/>
        <w:ind w:firstLine="48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（3）负责对党员进行纪律教育，做出关于维护党纪的决定。</w:t>
      </w:r>
    </w:p>
    <w:p>
      <w:pPr>
        <w:pStyle w:val="6"/>
        <w:widowControl/>
        <w:shd w:val="clear" w:fill="FFFFFF" w:themeFill="background1"/>
        <w:spacing w:before="150" w:beforeAutospacing="0" w:afterAutospacing="0" w:line="450" w:lineRule="atLeast"/>
        <w:ind w:firstLine="48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负责检查并处理全区各级党的组织和党员违反党章、党纪和国家法律、法令的重要或复杂的案件，按照管理权限决定或取消对这些案件中的党员的处分；受理党员的控告和申诉，保护党员的民主权利和合法权益。</w:t>
      </w:r>
    </w:p>
    <w:p>
      <w:pPr>
        <w:pStyle w:val="6"/>
        <w:widowControl/>
        <w:shd w:val="clear" w:fill="FFFFFF" w:themeFill="background1"/>
        <w:spacing w:before="150" w:beforeAutospacing="0" w:afterAutospacing="0" w:line="450" w:lineRule="atLeast"/>
        <w:ind w:firstLine="48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（5）协助区委组织、协调、指导各执法、执纪、监管部门开展反腐败斗争。</w:t>
      </w:r>
    </w:p>
    <w:p>
      <w:pPr>
        <w:pStyle w:val="6"/>
        <w:widowControl/>
        <w:shd w:val="clear" w:fill="FFFFFF" w:themeFill="background1"/>
        <w:spacing w:before="150" w:beforeAutospacing="0" w:afterAutospacing="0" w:line="450" w:lineRule="atLeast"/>
        <w:ind w:firstLine="48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（6）调查全区各级党组织和党员遵纪守法情况，研究党风党纪问题，建立健全党内法规、制度。</w:t>
      </w:r>
    </w:p>
    <w:p>
      <w:pPr>
        <w:pStyle w:val="6"/>
        <w:widowControl/>
        <w:shd w:val="clear" w:fill="FFFFFF" w:themeFill="background1"/>
        <w:spacing w:before="150" w:beforeAutospacing="0" w:afterAutospacing="0" w:line="450" w:lineRule="atLeast"/>
        <w:ind w:firstLine="48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（7）按照干部管理权限，配合区委组织部对乡镇、街道纪委和区直部、办、委、局级单位纪检组（纪委）领导干部进行考察、调整和任免。指导全区各级纪检监察干部的业务培训。</w:t>
      </w:r>
    </w:p>
    <w:p>
      <w:pPr>
        <w:pStyle w:val="6"/>
        <w:widowControl/>
        <w:shd w:val="clear" w:fill="FFFFFF" w:themeFill="background1"/>
        <w:spacing w:before="150" w:beforeAutospacing="0" w:afterAutospacing="0" w:line="450" w:lineRule="atLeast"/>
        <w:ind w:firstLine="48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（8）承办区委和市纪委授权或交办的其他事项。</w:t>
      </w:r>
    </w:p>
    <w:p>
      <w:pPr>
        <w:pStyle w:val="6"/>
        <w:widowControl/>
        <w:shd w:val="clear" w:fill="FFFFFF" w:themeFill="background1"/>
        <w:spacing w:before="150" w:beforeAutospacing="0" w:afterAutospacing="0" w:line="450" w:lineRule="atLeast"/>
        <w:ind w:firstLine="48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（二）按照相关法律法规的规定，行使以下监察方面的主要职责是：</w:t>
      </w:r>
    </w:p>
    <w:p>
      <w:pPr>
        <w:pStyle w:val="6"/>
        <w:widowControl/>
        <w:shd w:val="clear" w:fill="FFFFFF" w:themeFill="background1"/>
        <w:spacing w:before="150" w:beforeAutospacing="0" w:afterAutospacing="0" w:line="450" w:lineRule="atLeast"/>
        <w:ind w:firstLine="48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（1）贯彻落实上级有关领导机关监察工作的指示，领导全区的行政监察工作。</w:t>
      </w:r>
    </w:p>
    <w:p>
      <w:pPr>
        <w:pStyle w:val="6"/>
        <w:widowControl/>
        <w:shd w:val="clear" w:fill="FFFFFF" w:themeFill="background1"/>
        <w:spacing w:before="150" w:beforeAutospacing="0" w:afterAutospacing="0" w:line="450" w:lineRule="atLeast"/>
        <w:ind w:firstLine="48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按照分级管理原则，监察监督区人民政府各部门及其国家公务员；区人民政府及其各部门任命的其他人员；乡镇人民政府、街道办事处及其领导人员，区属企事业单位及其由国家行政机关任命的领导干部执行国家法律、法规、政策、决定、命令的情况。</w:t>
      </w:r>
    </w:p>
    <w:p>
      <w:pPr>
        <w:pStyle w:val="6"/>
        <w:widowControl/>
        <w:shd w:val="clear" w:fill="FFFFFF" w:themeFill="background1"/>
        <w:spacing w:before="150" w:beforeAutospacing="0" w:afterAutospacing="0" w:line="450" w:lineRule="atLeast"/>
        <w:ind w:firstLine="48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（3）调查监察对象遵纪守法情况，查处监察对象违反国家法律、法规、政策、决定、命令的情况及违法违纪行为，审理决定或建议对其做出处理。</w:t>
      </w:r>
    </w:p>
    <w:p>
      <w:pPr>
        <w:pStyle w:val="6"/>
        <w:widowControl/>
        <w:shd w:val="clear" w:fill="FFFFFF" w:themeFill="background1"/>
        <w:spacing w:before="150" w:beforeAutospacing="0" w:afterAutospacing="0" w:line="450" w:lineRule="atLeast"/>
        <w:ind w:firstLine="48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（4）受理个人和单位对监察对象的检举、控告，受理监察对象不服行政处分的申诉，保护监察对象的正当权利和合法利益。</w:t>
      </w:r>
    </w:p>
    <w:p>
      <w:pPr>
        <w:pStyle w:val="6"/>
        <w:widowControl/>
        <w:shd w:val="clear" w:fill="FFFFFF" w:themeFill="background1"/>
        <w:spacing w:before="150" w:beforeAutospacing="0" w:afterAutospacing="0" w:line="450" w:lineRule="atLeast"/>
        <w:ind w:firstLine="48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（5）研究政风政纪中带普遍性、倾向性的问题，制定地方行政监察规章制度，并组织实施。</w:t>
      </w:r>
    </w:p>
    <w:p>
      <w:pPr>
        <w:pStyle w:val="6"/>
        <w:widowControl/>
        <w:shd w:val="clear" w:fill="FFFFFF" w:themeFill="background1"/>
        <w:spacing w:before="150" w:beforeAutospacing="0" w:afterAutospacing="0" w:line="450" w:lineRule="atLeast"/>
        <w:ind w:firstLine="480"/>
        <w:rPr>
          <w:rFonts w:ascii="仿宋_GB2312" w:hAnsi="仿宋_GB2312" w:eastAsia="仿宋_GB2312" w:cs="仿宋_GB2312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（6）按照干部管理权限，配合乡镇、街道党（工）委和区直有关部门党委（党组）对乡镇、街道和区直部办委局级单位监察室领导干部进行考察、调整、任免和培训。</w:t>
      </w:r>
    </w:p>
    <w:p>
      <w:pPr>
        <w:pStyle w:val="6"/>
        <w:widowControl/>
        <w:shd w:val="clear" w:fill="FFFFFF" w:themeFill="background1"/>
        <w:spacing w:before="150" w:beforeAutospacing="0" w:afterAutospacing="0" w:line="450" w:lineRule="atLeast"/>
        <w:ind w:firstLine="480"/>
        <w:rPr>
          <w:rFonts w:eastAsia="仿宋_GB2312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（7）承办区人民政府和市监察委员会授权或交办的其他事项。</w:t>
      </w:r>
    </w:p>
    <w:p>
      <w:pPr>
        <w:pStyle w:val="6"/>
        <w:widowControl/>
        <w:shd w:val="clear" w:fill="FFFFFF" w:themeFill="background1"/>
        <w:spacing w:before="150" w:beforeAutospacing="0" w:afterAutospacing="0" w:line="450" w:lineRule="atLeast"/>
        <w:ind w:firstLine="480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shd w:val="clear" w:fill="FFFFFF" w:themeFill="background1"/>
        <w:spacing w:line="600" w:lineRule="exact"/>
        <w:ind w:firstLine="640" w:firstLineChars="200"/>
        <w:rPr>
          <w:rFonts w:ascii="黑体" w:hAnsi="黑体" w:eastAsia="黑体"/>
          <w:bCs/>
          <w:kern w:val="0"/>
          <w:sz w:val="32"/>
          <w:szCs w:val="32"/>
        </w:rPr>
      </w:pPr>
      <w:r>
        <w:rPr>
          <w:rFonts w:hint="eastAsia" w:ascii="黑体" w:hAnsi="黑体" w:eastAsia="黑体"/>
          <w:bCs/>
          <w:kern w:val="0"/>
          <w:sz w:val="32"/>
          <w:szCs w:val="32"/>
        </w:rPr>
        <w:t>二、机构设置及决算单位构成</w:t>
      </w:r>
    </w:p>
    <w:p>
      <w:pPr>
        <w:widowControl/>
        <w:shd w:val="clear" w:fill="FFFFFF" w:themeFill="background1"/>
        <w:spacing w:line="600" w:lineRule="exact"/>
        <w:ind w:firstLine="643" w:firstLineChars="200"/>
        <w:rPr>
          <w:rFonts w:ascii="楷体_GB2312" w:hAnsi="宋体" w:eastAsia="楷体_GB2312"/>
          <w:b/>
          <w:bCs/>
          <w:kern w:val="0"/>
          <w:sz w:val="32"/>
          <w:szCs w:val="32"/>
        </w:rPr>
      </w:pPr>
      <w:r>
        <w:rPr>
          <w:rFonts w:hint="eastAsia" w:ascii="楷体_GB2312" w:hAnsi="宋体" w:eastAsia="楷体_GB2312"/>
          <w:b/>
          <w:bCs/>
          <w:kern w:val="0"/>
          <w:sz w:val="32"/>
          <w:szCs w:val="32"/>
        </w:rPr>
        <w:t>1、内设机构设置。</w:t>
      </w:r>
    </w:p>
    <w:p>
      <w:pPr>
        <w:pStyle w:val="6"/>
        <w:widowControl/>
        <w:shd w:val="clear" w:fill="FFFFFF" w:themeFill="background1"/>
        <w:spacing w:before="150" w:beforeAutospacing="0" w:afterAutospacing="0" w:line="450" w:lineRule="atLeas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中共邵阳市大祥区纪律检查委员会、邵阳市大祥区监察委员会内设9个职能室：办公室、案件管理室、党风政风监督室、信访室、第一纪检监察室、第二纪检监察室、第三纪检监察室、第四纪检监察室、案件审理室；9个派驻纪检监察组：派驻区委办纪检监察组、派驻区政府办纪检监察组、派驻区委组织部办纪检监察组、派驻区委宣传部办纪检监察组、派驻区委政法委纪检监察组、派驻区财政局办纪检监察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组、派驻区民政局办纪检监察组、派驻区城管局办纪检监察组、派驻区农业农村局办纪检监察组。</w:t>
      </w:r>
    </w:p>
    <w:p>
      <w:pPr>
        <w:pStyle w:val="2"/>
        <w:shd w:val="clear" w:fill="FFFFFF" w:themeFill="background1"/>
        <w:ind w:firstLine="420"/>
        <w:rPr>
          <w:shd w:val="clear" w:color="auto" w:fill="auto"/>
        </w:rPr>
      </w:pPr>
    </w:p>
    <w:p>
      <w:pPr>
        <w:shd w:val="clear" w:fill="FFFFFF" w:themeFill="background1"/>
        <w:rPr>
          <w:rFonts w:ascii="黑体" w:hAnsi="黑体" w:eastAsia="黑体"/>
          <w:sz w:val="28"/>
          <w:szCs w:val="28"/>
          <w:shd w:val="clear" w:color="auto" w:fill="auto"/>
        </w:rPr>
      </w:pPr>
      <w:r>
        <w:rPr>
          <w:rFonts w:hint="eastAsia" w:ascii="黑体" w:hAnsi="黑体" w:eastAsia="黑体"/>
          <w:sz w:val="28"/>
          <w:szCs w:val="28"/>
          <w:shd w:val="clear" w:color="auto" w:fill="auto"/>
        </w:rPr>
        <w:t>二、财务收支情况说明</w:t>
      </w:r>
    </w:p>
    <w:p>
      <w:pPr>
        <w:pStyle w:val="9"/>
        <w:shd w:val="clear" w:fill="FFFFFF" w:themeFill="background1"/>
        <w:spacing w:line="600" w:lineRule="exact"/>
        <w:ind w:firstLine="640" w:firstLineChars="200"/>
        <w:rPr>
          <w:rFonts w:hAnsi="黑体" w:cs="Times New Roman"/>
          <w:color w:val="auto"/>
          <w:sz w:val="32"/>
          <w:szCs w:val="32"/>
          <w:shd w:val="clear" w:color="auto" w:fill="auto"/>
        </w:rPr>
      </w:pPr>
      <w:r>
        <w:rPr>
          <w:rFonts w:hint="eastAsia" w:hAnsi="黑体" w:cs="Times New Roman"/>
          <w:color w:val="auto"/>
          <w:sz w:val="32"/>
          <w:szCs w:val="32"/>
          <w:shd w:val="clear" w:color="auto" w:fill="auto"/>
        </w:rPr>
        <w:t>1</w:t>
      </w:r>
      <w:r>
        <w:rPr>
          <w:rFonts w:hAnsi="黑体" w:cs="Times New Roman"/>
          <w:color w:val="auto"/>
          <w:sz w:val="32"/>
          <w:szCs w:val="32"/>
          <w:shd w:val="clear" w:color="auto" w:fill="auto"/>
        </w:rPr>
        <w:t>、收入决算情况说明</w:t>
      </w:r>
    </w:p>
    <w:p>
      <w:pPr>
        <w:pStyle w:val="9"/>
        <w:shd w:val="clear" w:fill="FFFFFF" w:themeFill="background1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  <w:t>本年收入合计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  <w:t>985.45</w:t>
      </w:r>
      <w:r>
        <w:rPr>
          <w:rFonts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  <w:t>万元，其中：财政拨款收入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  <w:t>984.51</w:t>
      </w:r>
      <w:r>
        <w:rPr>
          <w:rFonts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  <w:t xml:space="preserve"> 万元， 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  <w:t>99.9</w:t>
      </w:r>
      <w:r>
        <w:rPr>
          <w:rFonts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  <w:t xml:space="preserve"> %；上级补助收入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  <w:t>0</w:t>
      </w:r>
      <w:r>
        <w:rPr>
          <w:rFonts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  <w:t>万元，占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  <w:t>0</w:t>
      </w:r>
      <w:r>
        <w:rPr>
          <w:rFonts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  <w:t>%；事业收入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  <w:t>0</w:t>
      </w:r>
      <w:r>
        <w:rPr>
          <w:rFonts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  <w:t>万元，占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  <w:t>0</w:t>
      </w:r>
      <w:r>
        <w:rPr>
          <w:rFonts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  <w:t>%；经营收入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  <w:t>0</w:t>
      </w:r>
      <w:r>
        <w:rPr>
          <w:rFonts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  <w:t>万元，占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  <w:t>0</w:t>
      </w:r>
      <w:r>
        <w:rPr>
          <w:rFonts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  <w:t xml:space="preserve"> %；附属单位上缴收入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  <w:t>0</w:t>
      </w:r>
      <w:r>
        <w:rPr>
          <w:rFonts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  <w:t>万元，占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  <w:t>0</w:t>
      </w:r>
      <w:r>
        <w:rPr>
          <w:rFonts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  <w:t xml:space="preserve"> %；其他收入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  <w:t>0.93</w:t>
      </w:r>
      <w:r>
        <w:rPr>
          <w:rFonts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  <w:t>万元，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  <w:t>0.1</w:t>
      </w:r>
      <w:r>
        <w:rPr>
          <w:rFonts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  <w:t xml:space="preserve"> %。</w:t>
      </w:r>
    </w:p>
    <w:p>
      <w:pPr>
        <w:pStyle w:val="9"/>
        <w:shd w:val="clear" w:fill="FFFFFF" w:themeFill="background1"/>
        <w:spacing w:line="600" w:lineRule="exact"/>
        <w:ind w:firstLine="640" w:firstLineChars="200"/>
        <w:rPr>
          <w:rFonts w:hAnsi="黑体" w:cs="Times New Roman"/>
          <w:color w:val="auto"/>
          <w:sz w:val="32"/>
          <w:szCs w:val="32"/>
          <w:shd w:val="clear" w:color="auto" w:fill="auto"/>
        </w:rPr>
      </w:pPr>
      <w:r>
        <w:rPr>
          <w:rFonts w:hint="eastAsia" w:hAnsi="黑体" w:cs="Times New Roman"/>
          <w:color w:val="auto"/>
          <w:sz w:val="32"/>
          <w:szCs w:val="32"/>
          <w:shd w:val="clear" w:color="auto" w:fill="auto"/>
        </w:rPr>
        <w:t>2</w:t>
      </w:r>
      <w:r>
        <w:rPr>
          <w:rFonts w:hAnsi="黑体" w:cs="Times New Roman"/>
          <w:color w:val="auto"/>
          <w:sz w:val="32"/>
          <w:szCs w:val="32"/>
          <w:shd w:val="clear" w:color="auto" w:fill="auto"/>
        </w:rPr>
        <w:t>、支出决算情况说明</w:t>
      </w:r>
    </w:p>
    <w:p>
      <w:pPr>
        <w:pStyle w:val="9"/>
        <w:shd w:val="clear" w:fill="FFFFFF" w:themeFill="background1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  <w:t>本年支出合计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  <w:t>1075.61</w:t>
      </w:r>
      <w:r>
        <w:rPr>
          <w:rFonts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  <w:t>万元，其中：基本支出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  <w:t>1030.24</w:t>
      </w:r>
      <w:r>
        <w:rPr>
          <w:rFonts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  <w:t>万元，占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  <w:t>95.78</w:t>
      </w:r>
      <w:r>
        <w:rPr>
          <w:rFonts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  <w:t>%；项目支出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  <w:t>45.37</w:t>
      </w:r>
      <w:r>
        <w:rPr>
          <w:rFonts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  <w:t>万元，占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  <w:t>4.320</w:t>
      </w:r>
      <w:r>
        <w:rPr>
          <w:rFonts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  <w:t xml:space="preserve"> %；上缴上级支出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  <w:t>0</w:t>
      </w:r>
      <w:r>
        <w:rPr>
          <w:rFonts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  <w:t>万元，占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  <w:t>0</w:t>
      </w:r>
      <w:r>
        <w:rPr>
          <w:rFonts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  <w:t xml:space="preserve"> %；经营支出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  <w:t>0</w:t>
      </w:r>
      <w:r>
        <w:rPr>
          <w:rFonts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  <w:t>万元，占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  <w:t>0</w:t>
      </w:r>
      <w:r>
        <w:rPr>
          <w:rFonts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  <w:t xml:space="preserve"> %；对附属单位补助支出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  <w:t>0</w:t>
      </w:r>
      <w:r>
        <w:rPr>
          <w:rFonts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  <w:t>万元，占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  <w:t>0</w:t>
      </w:r>
      <w:r>
        <w:rPr>
          <w:rFonts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  <w:t>%。</w:t>
      </w:r>
    </w:p>
    <w:p>
      <w:pPr>
        <w:pStyle w:val="9"/>
        <w:shd w:val="clear" w:fill="FFFFFF" w:themeFill="background1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  <w:t>3、收支结余情况说明</w:t>
      </w:r>
    </w:p>
    <w:p>
      <w:pPr>
        <w:pStyle w:val="9"/>
        <w:shd w:val="clear" w:fill="FFFFFF" w:themeFill="background1"/>
        <w:spacing w:line="600" w:lineRule="exact"/>
        <w:ind w:left="420" w:leftChars="200"/>
        <w:rPr>
          <w:rFonts w:ascii="仿宋_GB2312" w:hAnsi="仿宋_GB2312" w:eastAsia="仿宋_GB2312" w:cs="仿宋_GB2312"/>
          <w:sz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sz w:val="32"/>
          <w:shd w:val="clear" w:color="auto" w:fill="auto"/>
        </w:rPr>
        <w:t>2020年，本单位年末结转和结余资金91.46万元，其中：基本支出结转91.46万元，项目结转0万元。</w:t>
      </w:r>
    </w:p>
    <w:p>
      <w:pPr>
        <w:pStyle w:val="9"/>
        <w:spacing w:line="600" w:lineRule="exact"/>
        <w:ind w:firstLine="640" w:firstLineChars="200"/>
        <w:rPr>
          <w:rFonts w:hAnsi="黑体" w:cs="Times New Roman"/>
          <w:color w:val="auto"/>
          <w:sz w:val="32"/>
          <w:szCs w:val="32"/>
          <w:shd w:val="clear" w:color="auto" w:fill="auto"/>
        </w:rPr>
      </w:pPr>
      <w:r>
        <w:rPr>
          <w:rFonts w:hint="eastAsia" w:hAnsi="黑体" w:cs="Times New Roman"/>
          <w:color w:val="auto"/>
          <w:sz w:val="32"/>
          <w:szCs w:val="32"/>
          <w:shd w:val="clear" w:color="auto" w:fill="auto"/>
        </w:rPr>
        <w:t>4、</w:t>
      </w:r>
      <w:r>
        <w:rPr>
          <w:rFonts w:hint="eastAsia" w:hAnsi="黑体"/>
          <w:b/>
          <w:bCs/>
          <w:color w:val="555555"/>
          <w:sz w:val="32"/>
          <w:szCs w:val="32"/>
          <w:shd w:val="clear" w:color="auto" w:fill="auto"/>
        </w:rPr>
        <w:t>支出绩效情况</w:t>
      </w:r>
    </w:p>
    <w:p>
      <w:pPr>
        <w:pStyle w:val="9"/>
        <w:spacing w:line="600" w:lineRule="exact"/>
        <w:ind w:firstLine="720" w:firstLineChars="200"/>
        <w:rPr>
          <w:rFonts w:ascii="楷体_GB2312" w:hAnsi="楷体_GB2312" w:eastAsia="楷体_GB2312" w:cs="楷体_GB2312"/>
          <w:color w:val="555555"/>
          <w:sz w:val="36"/>
          <w:szCs w:val="36"/>
          <w:shd w:val="clear" w:color="auto" w:fill="FFFFFF"/>
        </w:rPr>
      </w:pPr>
      <w:r>
        <w:rPr>
          <w:rFonts w:hint="eastAsia" w:ascii="楷体_GB2312" w:hAnsi="楷体_GB2312" w:eastAsia="楷体_GB2312" w:cs="楷体_GB2312"/>
          <w:color w:val="555555"/>
          <w:sz w:val="36"/>
          <w:szCs w:val="36"/>
          <w:shd w:val="clear" w:color="auto" w:fill="auto"/>
        </w:rPr>
        <w:t>严格遵守各项财经纪律和财务管理制度，及时公开预决算，自觉接受财政和社会监督。加强财务管理，强化预算编制和执行，有效实施内部监督和控制，保证会计资料的真实性和完整性。实行“收支两条线”，确保财务收支平衡，加强财产物资管理，保障各项工</w:t>
      </w:r>
      <w:r>
        <w:rPr>
          <w:rFonts w:hint="eastAsia" w:ascii="楷体_GB2312" w:hAnsi="楷体_GB2312" w:eastAsia="楷体_GB2312" w:cs="楷体_GB2312"/>
          <w:color w:val="555555"/>
          <w:sz w:val="36"/>
          <w:szCs w:val="36"/>
          <w:shd w:val="clear" w:color="auto" w:fill="FFFFFF"/>
        </w:rPr>
        <w:t>作正常开展和目标任务完成。整体支出平稳，较好地实现社会效益和可持续效益目标。</w:t>
      </w:r>
    </w:p>
    <w:p>
      <w:pPr>
        <w:pStyle w:val="9"/>
        <w:spacing w:line="600" w:lineRule="exact"/>
        <w:ind w:left="420" w:leftChars="200"/>
        <w:rPr>
          <w:rFonts w:hAnsi="黑体" w:cs="Times New Roman"/>
          <w:color w:val="auto"/>
          <w:sz w:val="32"/>
          <w:szCs w:val="32"/>
        </w:rPr>
      </w:pPr>
      <w:r>
        <w:rPr>
          <w:rFonts w:hint="eastAsia" w:hAnsi="黑体" w:cs="Times New Roman"/>
          <w:color w:val="auto"/>
          <w:sz w:val="32"/>
          <w:szCs w:val="32"/>
        </w:rPr>
        <w:t>三、</w:t>
      </w:r>
      <w:r>
        <w:rPr>
          <w:rFonts w:hAnsi="黑体" w:cs="Times New Roman"/>
          <w:color w:val="auto"/>
          <w:sz w:val="32"/>
          <w:szCs w:val="32"/>
        </w:rPr>
        <w:t>预算绩效情况</w:t>
      </w:r>
    </w:p>
    <w:p>
      <w:pPr>
        <w:widowControl/>
        <w:spacing w:line="62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</w:rPr>
        <w:t>本部门整体支出和项目支出实行绩效目标管理，纳入</w:t>
      </w:r>
      <w:r>
        <w:rPr>
          <w:rFonts w:eastAsia="仿宋_GB2312"/>
          <w:kern w:val="0"/>
          <w:sz w:val="32"/>
          <w:szCs w:val="32"/>
        </w:rPr>
        <w:t>2020</w:t>
      </w:r>
      <w:r>
        <w:rPr>
          <w:rFonts w:hint="eastAsia" w:eastAsia="仿宋_GB2312" w:cs="仿宋_GB2312"/>
          <w:kern w:val="0"/>
          <w:sz w:val="32"/>
          <w:szCs w:val="32"/>
        </w:rPr>
        <w:t>年部门整体支出绩效目标的金额为</w:t>
      </w:r>
      <w:r>
        <w:rPr>
          <w:rFonts w:hint="eastAsia" w:eastAsia="仿宋_GB2312" w:cs="仿宋_GB2312"/>
          <w:sz w:val="32"/>
          <w:szCs w:val="32"/>
        </w:rPr>
        <w:t>816.33</w:t>
      </w:r>
      <w:r>
        <w:rPr>
          <w:rFonts w:hint="eastAsia" w:eastAsia="仿宋_GB2312" w:cs="仿宋_GB2312"/>
          <w:kern w:val="0"/>
          <w:sz w:val="32"/>
          <w:szCs w:val="32"/>
        </w:rPr>
        <w:t>万元，其中，基本支出</w:t>
      </w:r>
      <w:r>
        <w:rPr>
          <w:rFonts w:hint="eastAsia" w:eastAsia="仿宋_GB2312" w:cs="仿宋_GB2312"/>
          <w:sz w:val="32"/>
          <w:szCs w:val="32"/>
        </w:rPr>
        <w:t>788.73</w:t>
      </w:r>
      <w:r>
        <w:rPr>
          <w:rFonts w:hint="eastAsia" w:eastAsia="仿宋_GB2312" w:cs="仿宋_GB2312"/>
          <w:kern w:val="0"/>
          <w:sz w:val="32"/>
          <w:szCs w:val="32"/>
        </w:rPr>
        <w:t>万元，项目支出</w:t>
      </w:r>
      <w:bookmarkStart w:id="0" w:name="_GoBack"/>
      <w:r>
        <w:rPr>
          <w:rFonts w:hint="eastAsia" w:eastAsia="仿宋_GB2312" w:cs="仿宋_GB2312"/>
          <w:sz w:val="32"/>
          <w:szCs w:val="32"/>
        </w:rPr>
        <w:t>27.6</w:t>
      </w:r>
      <w:bookmarkEnd w:id="0"/>
      <w:r>
        <w:rPr>
          <w:rFonts w:hint="eastAsia" w:eastAsia="仿宋_GB2312" w:cs="仿宋_GB2312"/>
          <w:kern w:val="0"/>
          <w:sz w:val="32"/>
          <w:szCs w:val="32"/>
        </w:rPr>
        <w:t>万元。</w:t>
      </w:r>
    </w:p>
    <w:p>
      <w:pPr>
        <w:widowControl/>
        <w:numPr>
          <w:ilvl w:val="0"/>
          <w:numId w:val="1"/>
        </w:numPr>
        <w:shd w:val="clear" w:color="auto" w:fill="FFFFFF"/>
        <w:spacing w:beforeLines="50" w:afterLines="50"/>
        <w:ind w:firstLine="321" w:firstLineChars="1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绩效完成情况</w:t>
      </w:r>
    </w:p>
    <w:p>
      <w:pPr>
        <w:widowControl/>
        <w:shd w:val="clear" w:color="auto" w:fill="FFFFFF"/>
        <w:spacing w:beforeLines="50" w:afterLines="50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，区委带头抓实管党治党政治责任，旗帜鲜明、坚定不移的推进全面从严治党取得显著成效。在市纪委监委和区委的正确领导下，全区纪检监察机关围绕中心大局、聚焦主责主业，动真碰硬、忠诚履职，各项工作稳中有进、进中向好，全区政治生态持续好转、干部精气神更加提振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（一）提高政治站位，践行“两个维护”，服务中心大局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（二）坚持以人民为中心，聚焦群众身边突出问题，强化监督检查</w:t>
      </w:r>
    </w:p>
    <w:p>
      <w:pPr>
        <w:pStyle w:val="2"/>
        <w:spacing w:line="580" w:lineRule="exact"/>
        <w:ind w:firstLine="64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（三）实现“零”的突破，彰显法律威严</w:t>
      </w:r>
    </w:p>
    <w:p>
      <w:pPr>
        <w:snapToGrid w:val="0"/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（四）加大巡察保障力度，加强巡察工作</w:t>
      </w:r>
    </w:p>
    <w:p>
      <w:pPr>
        <w:snapToGrid w:val="0"/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（五）增强斗争本领，开展秋冬练兵</w:t>
      </w:r>
    </w:p>
    <w:p>
      <w:pPr>
        <w:pStyle w:val="2"/>
        <w:ind w:firstLine="420"/>
      </w:pPr>
    </w:p>
    <w:p>
      <w:pPr>
        <w:pStyle w:val="6"/>
        <w:widowControl/>
        <w:shd w:val="clear" w:color="auto" w:fill="FFFFFF"/>
        <w:spacing w:beforeAutospacing="0" w:after="150" w:afterAutospacing="0" w:line="450" w:lineRule="atLeast"/>
        <w:ind w:firstLine="643" w:firstLineChars="200"/>
        <w:rPr>
          <w:rFonts w:ascii="黑体" w:hAnsi="黑体" w:eastAsia="黑体" w:cs="黑体"/>
          <w:b/>
          <w:bCs/>
          <w:color w:val="555555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555555"/>
          <w:sz w:val="32"/>
          <w:szCs w:val="32"/>
          <w:shd w:val="clear" w:color="auto" w:fill="FFFFFF"/>
        </w:rPr>
        <w:t>四、评价结论及建议</w:t>
      </w:r>
    </w:p>
    <w:p>
      <w:pPr>
        <w:pStyle w:val="6"/>
        <w:widowControl/>
        <w:shd w:val="clear" w:color="auto" w:fill="FFFFFF"/>
        <w:spacing w:beforeAutospacing="0" w:after="150" w:afterAutospacing="0" w:line="450" w:lineRule="atLeast"/>
        <w:rPr>
          <w:rFonts w:ascii="仿宋_GB2312" w:hAnsi="仿宋_GB2312" w:eastAsia="仿宋_GB2312" w:cs="仿宋_GB2312"/>
          <w:color w:val="55555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555555"/>
          <w:sz w:val="32"/>
          <w:szCs w:val="32"/>
          <w:shd w:val="clear" w:color="auto" w:fill="FFFFFF"/>
        </w:rPr>
        <w:t>　　（一）评价结论</w:t>
      </w:r>
    </w:p>
    <w:p>
      <w:pPr>
        <w:pStyle w:val="6"/>
        <w:widowControl/>
        <w:shd w:val="clear" w:color="auto" w:fill="FFFFFF"/>
        <w:spacing w:beforeAutospacing="0" w:after="150" w:afterAutospacing="0" w:line="450" w:lineRule="atLeast"/>
        <w:rPr>
          <w:rFonts w:ascii="仿宋_GB2312" w:hAnsi="仿宋_GB2312" w:eastAsia="仿宋_GB2312" w:cs="仿宋_GB2312"/>
          <w:color w:val="55555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555555"/>
          <w:sz w:val="32"/>
          <w:szCs w:val="32"/>
          <w:shd w:val="clear" w:color="auto" w:fill="FFFFFF"/>
        </w:rPr>
        <w:t>　　综上所述，我单位在预算编制、预算执行、支出绩效方面，严格按照规定执行，合理安排支出，使财政资金发挥最大使用效益。</w:t>
      </w:r>
    </w:p>
    <w:p>
      <w:pPr>
        <w:pStyle w:val="6"/>
        <w:widowControl/>
        <w:shd w:val="clear" w:color="auto" w:fill="FFFFFF"/>
        <w:spacing w:beforeAutospacing="0" w:after="150" w:afterAutospacing="0" w:line="450" w:lineRule="atLeast"/>
        <w:rPr>
          <w:rFonts w:ascii="仿宋_GB2312" w:hAnsi="仿宋_GB2312" w:eastAsia="仿宋_GB2312" w:cs="仿宋_GB2312"/>
          <w:color w:val="55555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555555"/>
          <w:sz w:val="32"/>
          <w:szCs w:val="32"/>
          <w:shd w:val="clear" w:color="auto" w:fill="FFFFFF"/>
        </w:rPr>
        <w:t>　　（二）存在问题</w:t>
      </w:r>
    </w:p>
    <w:p>
      <w:pPr>
        <w:pStyle w:val="6"/>
        <w:widowControl/>
        <w:shd w:val="clear" w:color="auto" w:fill="FFFFFF"/>
        <w:spacing w:beforeAutospacing="0" w:after="150" w:afterAutospacing="0" w:line="450" w:lineRule="atLeast"/>
        <w:rPr>
          <w:rFonts w:ascii="仿宋_GB2312" w:hAnsi="仿宋_GB2312" w:eastAsia="仿宋_GB2312" w:cs="仿宋_GB2312"/>
          <w:color w:val="55555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555555"/>
          <w:sz w:val="32"/>
          <w:szCs w:val="32"/>
          <w:shd w:val="clear" w:color="auto" w:fill="FFFFFF"/>
        </w:rPr>
        <w:t>　　预算管理和财务管理有待加强，经费核算需进一步完善。在核算过程中部分支出难以区分支出范围，资金使用存在界限不清的现象。</w:t>
      </w:r>
    </w:p>
    <w:p>
      <w:pPr>
        <w:pStyle w:val="6"/>
        <w:widowControl/>
        <w:shd w:val="clear" w:color="auto" w:fill="FFFFFF"/>
        <w:spacing w:beforeAutospacing="0" w:after="150" w:afterAutospacing="0" w:line="450" w:lineRule="atLeast"/>
        <w:rPr>
          <w:rFonts w:ascii="仿宋_GB2312" w:hAnsi="仿宋_GB2312" w:eastAsia="仿宋_GB2312" w:cs="仿宋_GB2312"/>
          <w:color w:val="55555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555555"/>
          <w:sz w:val="32"/>
          <w:szCs w:val="32"/>
          <w:shd w:val="clear" w:color="auto" w:fill="FFFFFF"/>
        </w:rPr>
        <w:t>　　（三）改进建议</w:t>
      </w:r>
    </w:p>
    <w:p>
      <w:pPr>
        <w:pStyle w:val="6"/>
        <w:widowControl/>
        <w:shd w:val="clear" w:color="auto" w:fill="FFFFFF"/>
        <w:spacing w:beforeAutospacing="0" w:after="150" w:afterAutospacing="0" w:line="450" w:lineRule="atLeast"/>
        <w:rPr>
          <w:rFonts w:ascii="仿宋_GB2312" w:hAnsi="仿宋_GB2312" w:eastAsia="仿宋_GB2312" w:cs="仿宋_GB2312"/>
          <w:color w:val="55555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555555"/>
          <w:sz w:val="32"/>
          <w:szCs w:val="32"/>
          <w:shd w:val="clear" w:color="auto" w:fill="FFFFFF"/>
        </w:rPr>
        <w:t>　　1、细化预算编制工作，认真做好年初预算编制。进一步加强单位内部各股室的预算管理意识，严格按照预算编制的相关要求进行编制。</w:t>
      </w:r>
    </w:p>
    <w:p>
      <w:pPr>
        <w:pStyle w:val="6"/>
        <w:widowControl/>
        <w:shd w:val="clear" w:color="auto" w:fill="FFFFFF"/>
        <w:spacing w:beforeAutospacing="0" w:after="150" w:afterAutospacing="0" w:line="450" w:lineRule="atLeast"/>
        <w:rPr>
          <w:rFonts w:ascii="仿宋_GB2312" w:hAnsi="仿宋_GB2312" w:eastAsia="仿宋_GB2312" w:cs="仿宋_GB2312"/>
          <w:color w:val="55555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555555"/>
          <w:sz w:val="32"/>
          <w:szCs w:val="32"/>
          <w:shd w:val="clear" w:color="auto" w:fill="FFFFFF"/>
        </w:rPr>
        <w:t>　　2、加强财务管理，严格财务审核。加强单位财务管理，健全单位财务管理制度体系，规范单位财务行为。在费用报销时，按照预算规定的项目和用途进行资金使用审核、支付及财务核算，预防超支现象的发生。</w:t>
      </w:r>
    </w:p>
    <w:p>
      <w:pPr>
        <w:pStyle w:val="6"/>
        <w:widowControl/>
        <w:shd w:val="clear" w:color="auto" w:fill="FFFFFF"/>
        <w:spacing w:beforeAutospacing="0" w:after="150" w:afterAutospacing="0" w:line="450" w:lineRule="atLeast"/>
        <w:rPr>
          <w:rFonts w:ascii="仿宋_GB2312" w:hAnsi="仿宋_GB2312" w:eastAsia="仿宋_GB2312" w:cs="仿宋_GB2312"/>
          <w:color w:val="55555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555555"/>
          <w:sz w:val="32"/>
          <w:szCs w:val="32"/>
          <w:shd w:val="clear" w:color="auto" w:fill="FFFFFF"/>
        </w:rPr>
        <w:t>　　3、加强对相关人员培训，特别是针对《预算法》、《政府会计制度》等方面学习培训，规范部门预算收支核算，切实提高部门预算收支管理水平。</w:t>
      </w:r>
    </w:p>
    <w:p>
      <w:pPr>
        <w:pStyle w:val="9"/>
        <w:spacing w:line="600" w:lineRule="exact"/>
        <w:ind w:firstLine="720" w:firstLineChars="200"/>
        <w:rPr>
          <w:rFonts w:ascii="楷体_GB2312" w:hAnsi="楷体_GB2312" w:eastAsia="楷体_GB2312" w:cs="楷体_GB2312"/>
          <w:color w:val="555555"/>
          <w:sz w:val="36"/>
          <w:szCs w:val="36"/>
          <w:shd w:val="clear" w:color="auto" w:fill="FFFFFF"/>
        </w:rPr>
      </w:pPr>
    </w:p>
    <w:p>
      <w:pPr>
        <w:pStyle w:val="9"/>
        <w:spacing w:line="600" w:lineRule="exact"/>
        <w:rPr>
          <w:rFonts w:hAnsi="黑体" w:cs="Times New Roman"/>
          <w:color w:val="auto"/>
          <w:sz w:val="32"/>
          <w:szCs w:val="32"/>
        </w:rPr>
      </w:pPr>
    </w:p>
    <w:p>
      <w:pPr>
        <w:pStyle w:val="9"/>
        <w:spacing w:line="600" w:lineRule="exact"/>
        <w:ind w:left="420" w:leftChars="200"/>
        <w:rPr>
          <w:rFonts w:ascii="仿宋_GB2312" w:hAnsi="仿宋_GB2312" w:eastAsia="仿宋_GB2312" w:cs="仿宋_GB2312"/>
          <w:sz w:val="32"/>
        </w:rPr>
      </w:pPr>
    </w:p>
    <w:p>
      <w:pPr>
        <w:pStyle w:val="9"/>
        <w:spacing w:line="600" w:lineRule="exact"/>
        <w:rPr>
          <w:rFonts w:ascii="Times New Roman" w:hAnsi="Times New Roman" w:eastAsia="仿宋_GB2312" w:cs="Times New Roman"/>
          <w:color w:val="auto"/>
          <w:sz w:val="32"/>
          <w:szCs w:val="32"/>
        </w:rPr>
      </w:pPr>
    </w:p>
    <w:p>
      <w:pPr>
        <w:ind w:firstLine="640" w:firstLineChars="200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D35BAF"/>
    <w:multiLevelType w:val="singleLevel"/>
    <w:tmpl w:val="11D35BAF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6DD74F2C"/>
    <w:rsid w:val="00BE703F"/>
    <w:rsid w:val="00C02A6F"/>
    <w:rsid w:val="07070183"/>
    <w:rsid w:val="08491B3F"/>
    <w:rsid w:val="0A863296"/>
    <w:rsid w:val="0E867584"/>
    <w:rsid w:val="0F4C056B"/>
    <w:rsid w:val="15361BB8"/>
    <w:rsid w:val="195D0A97"/>
    <w:rsid w:val="1FAC2D39"/>
    <w:rsid w:val="21F4422F"/>
    <w:rsid w:val="226861CF"/>
    <w:rsid w:val="276E367B"/>
    <w:rsid w:val="2C4904B9"/>
    <w:rsid w:val="32DF7CD9"/>
    <w:rsid w:val="33ED4D3F"/>
    <w:rsid w:val="38A31027"/>
    <w:rsid w:val="3D3B3086"/>
    <w:rsid w:val="3E7E12C6"/>
    <w:rsid w:val="3F2D0E95"/>
    <w:rsid w:val="4056704C"/>
    <w:rsid w:val="416C638C"/>
    <w:rsid w:val="46597322"/>
    <w:rsid w:val="48321978"/>
    <w:rsid w:val="489F1B9F"/>
    <w:rsid w:val="48E86B0C"/>
    <w:rsid w:val="5577673F"/>
    <w:rsid w:val="5B1F051B"/>
    <w:rsid w:val="5BE300CE"/>
    <w:rsid w:val="5BE96BF8"/>
    <w:rsid w:val="61C934F9"/>
    <w:rsid w:val="66573C3C"/>
    <w:rsid w:val="669319E0"/>
    <w:rsid w:val="66D21489"/>
    <w:rsid w:val="6DD74F2C"/>
    <w:rsid w:val="6E874EB5"/>
    <w:rsid w:val="717C16E7"/>
    <w:rsid w:val="767A61F7"/>
    <w:rsid w:val="768F7879"/>
    <w:rsid w:val="77EA3469"/>
    <w:rsid w:val="781E6AFC"/>
    <w:rsid w:val="7E04305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0"/>
    <w:pPr>
      <w:ind w:firstLine="200" w:firstLineChars="200"/>
    </w:pPr>
    <w:rPr>
      <w:color w:val="000000"/>
      <w:szCs w:val="20"/>
    </w:r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1">
    <w:name w:val="页眉 Char"/>
    <w:basedOn w:val="8"/>
    <w:link w:val="5"/>
    <w:uiPriority w:val="0"/>
    <w:rPr>
      <w:kern w:val="2"/>
      <w:sz w:val="18"/>
      <w:szCs w:val="18"/>
    </w:rPr>
  </w:style>
  <w:style w:type="character" w:customStyle="1" w:styleId="12">
    <w:name w:val="页脚 Char"/>
    <w:basedOn w:val="8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2327</Words>
  <Characters>217</Characters>
  <Lines>1</Lines>
  <Paragraphs>5</Paragraphs>
  <TotalTime>1</TotalTime>
  <ScaleCrop>false</ScaleCrop>
  <LinksUpToDate>false</LinksUpToDate>
  <CharactersWithSpaces>2539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2021-09-08T09:23:00Z</dcterms:created>
  <dc:creator>舍  得</dc:creator>
  <cp:lastModifiedBy>Administrator</cp:lastModifiedBy>
  <dcterms:modified xsi:type="dcterms:W3CDTF">2021-09-23T11:19:53Z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38A3963F4EC549D3BC8B711BDA7CF0FE</vt:lpwstr>
  </property>
</Properties>
</file>